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t xml:space="preserve">Sehr geehrte Frau Sendler-Koschel, sehr geehrter Herr Claussen,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t xml:space="preserve">nachdem die BAKD die Angebote von Playing Arts für 2017 aus dem Programm genommen hat und unter einer neuen Leitung  die Schwerpunktsetzung der BAKD neu definieren will, brechen wir heute eine Lanze für kulturelle Bildung im Allgemeinen und für Playing Arts mit seinem Bekenntnis zur ästhetischen Selbstbildung im Besonderen. Dies wird von den Unterzeichnenden, einem Netzwerk von Menschen getragen, die - zum großen Teil über das Burckhardthaus und die BAKD weitergebildet - in kirchlichen, sozialen und gesellschaftspolitischen Arbeits- und Lebensbereichen als Playing Artists Kultur, Bildung und das Leben als Mensch mit gestalten.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t xml:space="preserve">Dieses Manifest unterstütze ich,  …………………………………………… </w:t>
      </w:r>
    </w:p>
    <w:p w:rsidR="00000000" w:rsidDel="00000000" w:rsidP="00000000" w:rsidRDefault="00000000" w:rsidRPr="00000000">
      <w:pPr>
        <w:spacing w:line="240" w:lineRule="auto"/>
        <w:ind w:left="2160" w:firstLine="720"/>
        <w:contextualSpacing w:val="0"/>
      </w:pPr>
      <w:r w:rsidDel="00000000" w:rsidR="00000000" w:rsidRPr="00000000">
        <w:rPr>
          <w:rFonts w:ascii="Calibri" w:cs="Calibri" w:eastAsia="Calibri" w:hAnsi="Calibri"/>
          <w:i w:val="1"/>
          <w:rtl w:val="0"/>
        </w:rPr>
        <w:t xml:space="preserve">                (Vorname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8"/>
          <w:szCs w:val="28"/>
          <w:rtl w:val="0"/>
        </w:rPr>
        <w:t xml:space="preserve">Playing Arts - Manifest über die Hingabe zur Kulturellen Bildung</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Kultur das ist, was in unserer Gesellschaft das Menschsein offenbar werden lässt,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Räume schaffen, in denen der Mensch sich gestaltend offenbaren kann.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will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Bildung die subjektive, individuelle, unnachahmliche Aneignung von Welt ist,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Welt erlebbar, begreifbar, probierbar, riskierbar machen.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macht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Kultur das ist, was unsere Werte bewahrt, hinterfragt und weiterentwickelt,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Impulse setzen, die anregen, irritieren, wach machen.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schafft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Bildung nicht gemacht, sondern nur assistierend angeregt werden kann,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anstiften statt anleiten und Selbstausdruck radikal zulassen und unterstützen.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kann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Kultur einen sinnlichen Zugang zu </w:t>
      </w:r>
      <w:r w:rsidDel="00000000" w:rsidR="00000000" w:rsidRPr="00000000">
        <w:rPr>
          <w:rFonts w:ascii="Calibri" w:cs="Calibri" w:eastAsia="Calibri" w:hAnsi="Calibri"/>
          <w:rtl w:val="0"/>
        </w:rPr>
        <w:t xml:space="preserve">Sinnfindung und Spiritualität</w:t>
      </w:r>
      <w:r w:rsidDel="00000000" w:rsidR="00000000" w:rsidRPr="00000000">
        <w:rPr>
          <w:rFonts w:ascii="Calibri" w:cs="Calibri" w:eastAsia="Calibri" w:hAnsi="Calibri"/>
          <w:rtl w:val="0"/>
        </w:rPr>
        <w:t xml:space="preserve"> eröffnen soll,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unsere Sinne </w:t>
      </w:r>
      <w:r w:rsidDel="00000000" w:rsidR="00000000" w:rsidRPr="00000000">
        <w:rPr>
          <w:rFonts w:ascii="Calibri" w:cs="Calibri" w:eastAsia="Calibri" w:hAnsi="Calibri"/>
          <w:rtl w:val="0"/>
        </w:rPr>
        <w:t xml:space="preserve">lebendig halten</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vollbringt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Bildung ihre Prozesse nur in einem wertschätzenden Rahmen statt unter Leistungsdruck entfaltet,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Resonanz</w:t>
      </w:r>
      <w:r w:rsidDel="00000000" w:rsidR="00000000" w:rsidRPr="00000000">
        <w:rPr>
          <w:rFonts w:ascii="Calibri" w:cs="Calibri" w:eastAsia="Calibri" w:hAnsi="Calibri"/>
          <w:rtl w:val="0"/>
        </w:rPr>
        <w:t xml:space="preserve"> mit Wertschätzung </w:t>
      </w:r>
      <w:r w:rsidDel="00000000" w:rsidR="00000000" w:rsidRPr="00000000">
        <w:rPr>
          <w:rFonts w:ascii="Calibri" w:cs="Calibri" w:eastAsia="Calibri" w:hAnsi="Calibri"/>
          <w:rtl w:val="0"/>
        </w:rPr>
        <w:t xml:space="preserve">auf Augenhöhe geben.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bietet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Kultur als soziale Plastik nur in Gemeinschaft lebendig ist,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ein tragfähiges Netzwerk spannen und Dialoge verwirklichen.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w:t>
      </w:r>
      <w:r w:rsidDel="00000000" w:rsidR="00000000" w:rsidRPr="00000000">
        <w:rPr>
          <w:rFonts w:ascii="Calibri" w:cs="Calibri" w:eastAsia="Calibri" w:hAnsi="Calibri"/>
          <w:rtl w:val="0"/>
        </w:rPr>
        <w:t xml:space="preserve">gelingt</w:t>
      </w:r>
      <w:r w:rsidDel="00000000" w:rsidR="00000000" w:rsidRPr="00000000">
        <w:rPr>
          <w:rFonts w:ascii="Calibri" w:cs="Calibri" w:eastAsia="Calibri" w:hAnsi="Calibri"/>
          <w:rtl w:val="0"/>
        </w:rPr>
        <w:t xml:space="preserve"> 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Bildung auf Begeisterung und Vergnügen gründet,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begeistern und uns begeistern lassen.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Das </w:t>
      </w:r>
      <w:r w:rsidDel="00000000" w:rsidR="00000000" w:rsidRPr="00000000">
        <w:rPr>
          <w:rFonts w:ascii="Calibri" w:cs="Calibri" w:eastAsia="Calibri" w:hAnsi="Calibri"/>
          <w:rtl w:val="0"/>
        </w:rPr>
        <w:t xml:space="preserve">schafft </w:t>
      </w:r>
      <w:r w:rsidDel="00000000" w:rsidR="00000000" w:rsidRPr="00000000">
        <w:rPr>
          <w:rFonts w:ascii="Calibri" w:cs="Calibri" w:eastAsia="Calibri" w:hAnsi="Calibri"/>
          <w:rtl w:val="0"/>
        </w:rPr>
        <w:t xml:space="preserve">Playing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Playing Arts Räume schafft, Welt riskierbar macht, Impulse setzt und anstiftet,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wenn Playing Arts Zugang und Rahmung bietet, ein Netzwerk spannt und begeistert,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dann müssen wir spielen.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Playing Arts ist heute für mich:</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Darum habe ich …………………………………………………………………………………….…….....</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rtl w:val="0"/>
        </w:rPr>
        <w:t xml:space="preserve">dieses Manifest oder Auszüge daraus am: ……………………………………………………….…………</w:t>
        <w:br w:type="textWrapping"/>
        <w:t xml:space="preserve">um: ………………………………………………………………………………………….…………..…...</w:t>
        <w:br w:type="textWrapping"/>
        <w:t xml:space="preserve">in: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(gespielt, gekocht, gemalt, gefeiert, getanzt, gebetet, geklöppelt, geknetet, gedichtet, gestickt, gesungen, geklebt, geschrieben, gemeißelt, gepredigt, gebacken oder dreimal hintereinander laut oder leise ausgesprochen):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Ein Beleg ist ggf. beigefügt (als Foto, DVD, Abdruck, Auszug, Rezept, Materialprobe oder etwas ganz anderes) bzw. unter folgendem Link zu finden: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Ort, Datum, Unterschrift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6838" w:w="11906"/>
      <w:pgMar w:bottom="1133.8582677165355" w:top="1133.8582677165355" w:left="1133.8582677165355" w:right="1133.8582677165355"/>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20"/>
        <w:szCs w:val="20"/>
        <w:rtl w:val="0"/>
      </w:rPr>
      <w:t xml:space="preserve">Eine Initiative des Netzwerks Spiel &amp; Kultur. Playing Arts e.V.</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